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D21C85">
      <w:pPr>
        <w:widowControl w:val="0"/>
        <w:spacing w:line="360" w:lineRule="auto"/>
        <w:ind w:firstLine="709"/>
        <w:jc w:val="both"/>
        <w:rPr>
          <w:snapToGrid w:val="0"/>
          <w:sz w:val="22"/>
          <w:szCs w:val="22"/>
        </w:rPr>
      </w:pPr>
      <w:r w:rsidRPr="003445DE">
        <w:rPr>
          <w:snapToGrid w:val="0"/>
          <w:sz w:val="22"/>
          <w:szCs w:val="22"/>
        </w:rPr>
        <w:t xml:space="preserve">ТКБ Инвестмент Партнерс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347DFB45" w:rsidR="00674587" w:rsidRPr="001056CA" w:rsidRDefault="002636AE" w:rsidP="00E35B8D">
      <w:pPr>
        <w:widowControl w:val="0"/>
        <w:spacing w:line="360" w:lineRule="auto"/>
        <w:ind w:firstLine="709"/>
        <w:jc w:val="both"/>
        <w:rPr>
          <w:snapToGrid w:val="0"/>
          <w:sz w:val="22"/>
          <w:szCs w:val="22"/>
        </w:rPr>
      </w:pPr>
      <w:r w:rsidRPr="002636AE">
        <w:rPr>
          <w:snapToGrid w:val="0"/>
          <w:sz w:val="22"/>
          <w:szCs w:val="22"/>
        </w:rPr>
        <w:t>Открытый паевой инвестиционный фонд рыночных финансовых инструментов "ТКБ Инвестмент Партнерс – Фонд облигаций"</w:t>
      </w:r>
      <w:r w:rsidR="001056CA" w:rsidRPr="001056CA">
        <w:rPr>
          <w:snapToGrid w:val="0"/>
          <w:sz w:val="22"/>
          <w:szCs w:val="22"/>
        </w:rPr>
        <w:t xml:space="preserve"> </w:t>
      </w:r>
      <w:r w:rsidR="00674587" w:rsidRPr="001056CA">
        <w:rPr>
          <w:snapToGrid w:val="0"/>
          <w:sz w:val="22"/>
          <w:szCs w:val="22"/>
        </w:rPr>
        <w:t>(Правила доверительного управления фондом</w:t>
      </w:r>
      <w:r w:rsidR="001056CA" w:rsidRPr="001056CA">
        <w:rPr>
          <w:snapToGrid w:val="0"/>
          <w:sz w:val="22"/>
          <w:szCs w:val="22"/>
        </w:rPr>
        <w:t xml:space="preserve"> зарегистрированы </w:t>
      </w:r>
      <w:r w:rsidR="004144AE" w:rsidRPr="004144AE">
        <w:rPr>
          <w:snapToGrid w:val="0"/>
          <w:sz w:val="22"/>
          <w:szCs w:val="22"/>
        </w:rPr>
        <w:t>ФКЦБ России</w:t>
      </w:r>
      <w:r w:rsidR="004144AE">
        <w:rPr>
          <w:color w:val="000000"/>
          <w:sz w:val="27"/>
          <w:szCs w:val="27"/>
        </w:rPr>
        <w:t xml:space="preserve"> </w:t>
      </w:r>
      <w:r>
        <w:rPr>
          <w:snapToGrid w:val="0"/>
          <w:sz w:val="22"/>
          <w:szCs w:val="22"/>
        </w:rPr>
        <w:t>24</w:t>
      </w:r>
      <w:r w:rsidR="001D74C0">
        <w:rPr>
          <w:snapToGrid w:val="0"/>
          <w:sz w:val="22"/>
          <w:szCs w:val="22"/>
        </w:rPr>
        <w:t>.</w:t>
      </w:r>
      <w:r>
        <w:rPr>
          <w:snapToGrid w:val="0"/>
          <w:sz w:val="22"/>
          <w:szCs w:val="22"/>
        </w:rPr>
        <w:t>12</w:t>
      </w:r>
      <w:r w:rsidR="001D74C0">
        <w:rPr>
          <w:snapToGrid w:val="0"/>
          <w:sz w:val="22"/>
          <w:szCs w:val="22"/>
        </w:rPr>
        <w:t>.</w:t>
      </w:r>
      <w:r w:rsidR="00674587" w:rsidRPr="001056CA">
        <w:rPr>
          <w:snapToGrid w:val="0"/>
          <w:sz w:val="22"/>
          <w:szCs w:val="22"/>
        </w:rPr>
        <w:t>200</w:t>
      </w:r>
      <w:r>
        <w:rPr>
          <w:snapToGrid w:val="0"/>
          <w:sz w:val="22"/>
          <w:szCs w:val="22"/>
        </w:rPr>
        <w:t>2</w:t>
      </w:r>
      <w:r w:rsidR="00674587" w:rsidRPr="001056CA">
        <w:rPr>
          <w:snapToGrid w:val="0"/>
          <w:sz w:val="22"/>
          <w:szCs w:val="22"/>
        </w:rPr>
        <w:t xml:space="preserve"> за </w:t>
      </w:r>
      <w:r w:rsidRPr="002636AE">
        <w:rPr>
          <w:snapToGrid w:val="0"/>
          <w:sz w:val="22"/>
          <w:szCs w:val="22"/>
        </w:rPr>
        <w:t>№ 0081-58233855</w:t>
      </w:r>
      <w:r w:rsidR="00674587" w:rsidRPr="001056CA">
        <w:rPr>
          <w:snapToGrid w:val="0"/>
          <w:sz w:val="22"/>
          <w:szCs w:val="22"/>
        </w:rPr>
        <w:t xml:space="preserve">). </w:t>
      </w:r>
    </w:p>
    <w:p w14:paraId="0B6C03E0" w14:textId="0E3412D1" w:rsidR="00674587" w:rsidRDefault="004144AE" w:rsidP="00674587">
      <w:pPr>
        <w:spacing w:line="360" w:lineRule="auto"/>
        <w:ind w:firstLine="709"/>
        <w:jc w:val="both"/>
        <w:rPr>
          <w:sz w:val="24"/>
          <w:szCs w:val="24"/>
        </w:rPr>
      </w:pPr>
      <w:r w:rsidRPr="004144AE">
        <w:rPr>
          <w:snapToGrid w:val="0"/>
          <w:sz w:val="22"/>
          <w:szCs w:val="22"/>
        </w:rPr>
        <w:t>Получить информацию о паевом инвестиционном фонде и ознакомиться</w:t>
      </w:r>
      <w:r w:rsidR="00E35B8D" w:rsidRPr="003445DE">
        <w:rPr>
          <w:snapToGrid w:val="0"/>
          <w:sz w:val="22"/>
          <w:szCs w:val="22"/>
        </w:rPr>
        <w:t xml:space="preserve">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w:t>
      </w:r>
      <w:r w:rsidR="00674587" w:rsidRPr="00B53349">
        <w:rPr>
          <w:sz w:val="24"/>
          <w:szCs w:val="24"/>
        </w:rPr>
        <w:t xml:space="preserve">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www.tkbip.ru/sales/). Правилами доверительного управления паевыми инвестиционными фондами предусмотрены надбавки </w:t>
      </w:r>
      <w:r w:rsidR="001056CA">
        <w:rPr>
          <w:sz w:val="24"/>
          <w:szCs w:val="24"/>
        </w:rPr>
        <w:br/>
      </w:r>
      <w:r w:rsidR="00674587" w:rsidRPr="00B53349">
        <w:rPr>
          <w:sz w:val="24"/>
          <w:szCs w:val="24"/>
        </w:rPr>
        <w:t>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612CB6C1" w:rsidR="00E35B8D" w:rsidRPr="003445DE" w:rsidRDefault="00E35B8D" w:rsidP="00E35B8D">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5B45D613" w14:textId="1EE7C93E" w:rsidR="000D6427" w:rsidRPr="003445DE" w:rsidRDefault="000D6427" w:rsidP="00DE2BB6">
            <w:pPr>
              <w:pStyle w:val="a6"/>
              <w:spacing w:line="360" w:lineRule="auto"/>
            </w:pPr>
            <w:r w:rsidRPr="003445DE" w:rsidDel="00C60710">
              <w:t xml:space="preserve"> </w:t>
            </w:r>
            <w:r w:rsidR="00DE2BB6" w:rsidRPr="003445DE" w:rsidDel="00C60710">
              <w:t xml:space="preserve"> </w:t>
            </w:r>
            <w:r w:rsidR="00DE2BB6" w:rsidRPr="003445DE">
              <w:t>«</w:t>
            </w:r>
            <w:r w:rsidR="00DE2BB6">
              <w:t xml:space="preserve">30» июня </w:t>
            </w:r>
            <w:r w:rsidR="00DE2BB6" w:rsidRPr="003445DE">
              <w:t xml:space="preserve">2026 г. </w:t>
            </w:r>
          </w:p>
          <w:p w14:paraId="2132905D" w14:textId="77777777" w:rsidR="000D6427" w:rsidRPr="003445DE" w:rsidRDefault="000D6427" w:rsidP="008174A8">
            <w:pPr>
              <w:pStyle w:val="a6"/>
              <w:spacing w:line="360" w:lineRule="auto"/>
            </w:pPr>
          </w:p>
          <w:p w14:paraId="21955AB0" w14:textId="77777777" w:rsidR="0061772A" w:rsidRPr="00AD2F2B" w:rsidRDefault="0061772A" w:rsidP="0061772A">
            <w:pPr>
              <w:pStyle w:val="a6"/>
              <w:spacing w:line="360" w:lineRule="auto"/>
            </w:pPr>
            <w:r w:rsidRPr="00AD2F2B">
              <w:t>Генеральный директор</w:t>
            </w:r>
          </w:p>
          <w:p w14:paraId="79C4C496" w14:textId="77777777" w:rsidR="0061772A" w:rsidRPr="00AD2F2B" w:rsidRDefault="0061772A" w:rsidP="0061772A">
            <w:pPr>
              <w:pStyle w:val="a6"/>
              <w:spacing w:line="360" w:lineRule="auto"/>
            </w:pPr>
            <w:r w:rsidRPr="00AD2F2B">
              <w:t>ЗАО «Первый специализированный»</w:t>
            </w:r>
          </w:p>
          <w:p w14:paraId="0CB6A69B" w14:textId="77777777" w:rsidR="0061772A" w:rsidRPr="00AD2F2B" w:rsidRDefault="0061772A" w:rsidP="0061772A">
            <w:pPr>
              <w:pStyle w:val="a6"/>
              <w:spacing w:line="360" w:lineRule="auto"/>
            </w:pPr>
            <w:r w:rsidRPr="00AD2F2B">
              <w:t xml:space="preserve">Депозитарий» </w:t>
            </w:r>
          </w:p>
          <w:p w14:paraId="28A414E1" w14:textId="56224261" w:rsidR="000D6427" w:rsidRPr="003445DE" w:rsidRDefault="0061772A" w:rsidP="0061772A">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44452BFB" w14:textId="1D643139" w:rsidR="000D6427" w:rsidRDefault="00DE2BB6" w:rsidP="008174A8">
            <w:pPr>
              <w:pStyle w:val="a6"/>
              <w:spacing w:line="360" w:lineRule="auto"/>
            </w:pPr>
            <w:r w:rsidRPr="003445DE">
              <w:t>«</w:t>
            </w:r>
            <w:r>
              <w:t xml:space="preserve">30» июня </w:t>
            </w:r>
            <w:r w:rsidRPr="003445DE">
              <w:t>2026</w:t>
            </w:r>
            <w:r>
              <w:t xml:space="preserve"> г</w:t>
            </w:r>
            <w:r w:rsidRPr="003445DE">
              <w:t xml:space="preserve">.       </w:t>
            </w:r>
          </w:p>
          <w:p w14:paraId="27C10A96" w14:textId="77777777" w:rsidR="00DE2BB6" w:rsidRPr="003445DE" w:rsidRDefault="00DE2BB6"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ТКБ Инвестмент Партнерс</w:t>
            </w:r>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r w:rsidR="00E35B8D" w:rsidRPr="003445DE">
              <w:t>Мордавченков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4CF2F59C" w:rsidR="00C96190" w:rsidRPr="00AD2F2B" w:rsidRDefault="005B6FD1"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ФОНД </w:t>
      </w:r>
      <w:r w:rsidR="002636AE">
        <w:rPr>
          <w:snapToGrid w:val="0"/>
          <w:sz w:val="26"/>
          <w:szCs w:val="26"/>
          <w:u w:val="single"/>
        </w:rPr>
        <w:t>ОБЛИГАЦИЙ</w:t>
      </w:r>
      <w:r w:rsidR="00C96190" w:rsidRPr="00AD2F2B">
        <w:rPr>
          <w:snapToGrid w:val="0"/>
          <w:sz w:val="26"/>
          <w:szCs w:val="26"/>
          <w:u w:val="single"/>
        </w:rPr>
        <w:t>»</w:t>
      </w:r>
    </w:p>
    <w:p w14:paraId="5F7E50BE" w14:textId="5F395101"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627B3FF7" w14:textId="77777777" w:rsidR="004049E8" w:rsidRPr="00A963E1" w:rsidRDefault="004049E8" w:rsidP="004049E8">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2D51C272" w14:textId="77777777" w:rsidR="004049E8" w:rsidRPr="00A963E1" w:rsidRDefault="004049E8" w:rsidP="004049E8">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34E579B7" w14:textId="77777777" w:rsidR="004049E8" w:rsidRPr="003445DE" w:rsidRDefault="004049E8"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32537F10" w14:textId="77777777" w:rsidR="005E4D31" w:rsidRDefault="005E4D31">
      <w:pPr>
        <w:suppressAutoHyphens w:val="0"/>
        <w:autoSpaceDE/>
        <w:spacing w:after="160" w:line="259" w:lineRule="auto"/>
        <w:rPr>
          <w:sz w:val="24"/>
          <w:szCs w:val="24"/>
        </w:rPr>
      </w:pPr>
      <w:r>
        <w:rPr>
          <w:sz w:val="24"/>
          <w:szCs w:val="24"/>
        </w:rPr>
        <w:br w:type="page"/>
      </w:r>
    </w:p>
    <w:p w14:paraId="12275CE0" w14:textId="1B94B0E8"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14F389CE" w:rsidR="005404DA" w:rsidRPr="003445DE" w:rsidRDefault="00DE2BB6" w:rsidP="00E845C5">
      <w:pPr>
        <w:autoSpaceDN w:val="0"/>
        <w:adjustRightInd w:val="0"/>
        <w:spacing w:line="360" w:lineRule="auto"/>
        <w:ind w:firstLine="708"/>
        <w:jc w:val="both"/>
        <w:rPr>
          <w:sz w:val="24"/>
          <w:szCs w:val="24"/>
          <w:lang w:eastAsia="ru-RU"/>
        </w:rPr>
      </w:pPr>
      <w:r w:rsidRPr="00DE2BB6">
        <w:rPr>
          <w:sz w:val="24"/>
          <w:szCs w:val="24"/>
          <w:lang w:eastAsia="ru-RU"/>
        </w:rPr>
        <w:t>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Инвестмент Партнерс – Фонд облигаций» (далее – Фонд)</w:t>
      </w:r>
      <w:r>
        <w:rPr>
          <w:sz w:val="24"/>
          <w:szCs w:val="24"/>
          <w:lang w:eastAsia="ru-RU"/>
        </w:rPr>
        <w:t xml:space="preserve"> </w:t>
      </w:r>
      <w:r w:rsidR="005404DA" w:rsidRPr="003445DE">
        <w:rPr>
          <w:sz w:val="24"/>
          <w:szCs w:val="24"/>
          <w:lang w:eastAsia="ru-RU"/>
        </w:rPr>
        <w:t xml:space="preserve">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30FD01B2" w14:textId="77777777" w:rsidR="004049E8" w:rsidRPr="00A80BB4" w:rsidRDefault="004049E8" w:rsidP="004049E8">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37EA4244"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976D50">
      <w:pPr>
        <w:autoSpaceDN w:val="0"/>
        <w:adjustRightInd w:val="0"/>
        <w:spacing w:line="360" w:lineRule="auto"/>
        <w:ind w:firstLine="540"/>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371A1488" w14:textId="77777777" w:rsidR="00DE2BB6" w:rsidRDefault="00DE2BB6" w:rsidP="00DE2BB6">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7E9272A7" w14:textId="77777777" w:rsidR="00DE2BB6" w:rsidRPr="006F3994" w:rsidRDefault="00DE2BB6" w:rsidP="00DE2BB6">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53457B49" w14:textId="77777777" w:rsidR="00DE2BB6" w:rsidRPr="00AB5676" w:rsidRDefault="00DE2BB6" w:rsidP="00DE2BB6">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5E8CD6D"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3F1D963B"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на дату завершения (окончания) формирования паевого инвестиционного фонда;</w:t>
      </w:r>
    </w:p>
    <w:p w14:paraId="6D1921C8"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7831F961"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в случае прекращения паевого инвестиционного фонда - на дату возникновения основания его прекращения;</w:t>
      </w:r>
    </w:p>
    <w:p w14:paraId="3038E4AB"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11A9334A"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после завершения (окончания) формирования определяется в порядке:</w:t>
      </w:r>
    </w:p>
    <w:p w14:paraId="23215615" w14:textId="77777777" w:rsidR="004049E8" w:rsidRPr="00933267" w:rsidRDefault="004049E8" w:rsidP="004049E8">
      <w:pPr>
        <w:autoSpaceDN w:val="0"/>
        <w:adjustRightInd w:val="0"/>
        <w:spacing w:line="360" w:lineRule="auto"/>
        <w:ind w:firstLine="708"/>
        <w:jc w:val="both"/>
        <w:rPr>
          <w:sz w:val="24"/>
          <w:szCs w:val="24"/>
          <w:lang w:eastAsia="ru-RU"/>
        </w:rPr>
      </w:pPr>
      <w:r w:rsidRPr="00933267">
        <w:rPr>
          <w:sz w:val="24"/>
          <w:szCs w:val="24"/>
          <w:lang w:eastAsia="ru-RU"/>
        </w:rPr>
        <w:t>- каждый рабочий день до дня, в котором ПИФ исключен из реестра ПИФ;</w:t>
      </w:r>
    </w:p>
    <w:p w14:paraId="3E7F5DB2" w14:textId="3BFF6F2C" w:rsidR="00006884" w:rsidRPr="003445DE" w:rsidRDefault="004049E8" w:rsidP="004049E8">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049F1E9E" w14:textId="6DBA3436" w:rsidR="003D464D" w:rsidRDefault="00421397" w:rsidP="00976D50">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38039FB2" w14:textId="77777777" w:rsidR="005E4D31" w:rsidRDefault="005E4D31">
      <w:pPr>
        <w:suppressAutoHyphens w:val="0"/>
        <w:autoSpaceDE/>
        <w:spacing w:after="160" w:line="259" w:lineRule="auto"/>
        <w:rPr>
          <w:sz w:val="24"/>
          <w:szCs w:val="24"/>
          <w:lang w:eastAsia="ru-RU"/>
        </w:rPr>
      </w:pPr>
      <w:r>
        <w:rPr>
          <w:sz w:val="24"/>
          <w:szCs w:val="24"/>
          <w:lang w:eastAsia="ru-RU"/>
        </w:rPr>
        <w:br w:type="page"/>
      </w:r>
    </w:p>
    <w:p w14:paraId="693C3509" w14:textId="78E6597A"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284134"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284135"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284136"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284137"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284138"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284139"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284140"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284141"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284142"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284143"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284144"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284145"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11B73A7C">
                <v:shape id="_x0000_i1038" type="#_x0000_t75" style="width:57.75pt;height:28.5pt" o:ole="">
                  <v:imagedata r:id="rId37" o:title=""/>
                </v:shape>
                <o:OLEObject Type="Embed" ProgID="Equation.3" ShapeID="_x0000_i1038" DrawAspect="Content" ObjectID="_1844284146"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284147"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284148"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284149"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284150"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284151"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284152"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284153"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284154"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284155"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284156"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284157"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284158"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284159"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284160"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284161"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284162"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284163"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284164"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284165"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284166"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284167"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284168"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284169"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284170"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284171"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284172"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284173"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3ED793D9">
                <v:shape id="_x0000_i1067" type="#_x0000_t75" style="width:136.5pt;height:64.5pt" o:ole="">
                  <v:imagedata r:id="rId81" o:title=""/>
                </v:shape>
                <o:OLEObject Type="Embed" ProgID="Equation.3" ShapeID="_x0000_i1067" DrawAspect="Content" ObjectID="_1844284174"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284175"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284176"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5E4D31">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135CFE"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135CFE"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135CFE"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135CFE"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135CFE"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135CFE"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4048707B" w:rsidR="00173D93" w:rsidRPr="00900DAB"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900DAB">
              <w:rPr>
                <w:rStyle w:val="afa"/>
                <w:lang w:eastAsia="ru-RU"/>
              </w:rPr>
              <w:footnoteReference w:id="2"/>
            </w:r>
            <w:r w:rsidR="00900DAB" w:rsidRPr="00900DAB">
              <w:rPr>
                <w:sz w:val="24"/>
                <w:szCs w:val="24"/>
              </w:rPr>
              <w:t>;</w:t>
            </w:r>
          </w:p>
          <w:p w14:paraId="4A82AB24" w14:textId="28DA72A0" w:rsidR="00173D93" w:rsidRPr="00900DAB"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900DAB">
              <w:rPr>
                <w:rStyle w:val="afa"/>
                <w:lang w:eastAsia="ru-RU"/>
              </w:rPr>
              <w:footnoteReference w:id="3"/>
            </w:r>
            <w:r w:rsidR="00900DAB" w:rsidRPr="00900DAB">
              <w:rPr>
                <w:sz w:val="24"/>
                <w:szCs w:val="24"/>
              </w:rPr>
              <w:t>;</w:t>
            </w:r>
          </w:p>
          <w:p w14:paraId="11EC65F0" w14:textId="5F6C3652" w:rsidR="00173D93" w:rsidRPr="00DE2BB6"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900DAB">
              <w:rPr>
                <w:rStyle w:val="afa"/>
                <w:lang w:eastAsia="ru-RU"/>
              </w:rPr>
              <w:footnoteReference w:id="4"/>
            </w:r>
            <w:r w:rsidR="00900DAB" w:rsidRPr="00DE2BB6">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135CFE"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135CFE"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135CFE"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135CFE"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135CFE"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284177"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284178"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284179"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135CFE"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135CFE"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135CFE"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135CFE"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135CFE"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135CFE"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135CFE"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135CFE"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135CFE"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lastRenderedPageBreak/>
        <w:t>Standard &amp; Poor's</w:t>
      </w:r>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135CFE"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32F0DFBE"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5DC43DE2" w14:textId="684FDB10" w:rsidR="00512BF1" w:rsidRPr="00512BF1" w:rsidRDefault="00512BF1" w:rsidP="00512BF1">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135CFE"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 xml:space="preserve">ruAAA (AAA(RU), </w:t>
      </w:r>
      <w:r w:rsidR="007153BF" w:rsidRPr="003445DE">
        <w:rPr>
          <w:sz w:val="24"/>
          <w:szCs w:val="24"/>
        </w:rPr>
        <w:lastRenderedPageBreak/>
        <w:t>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135CFE"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1152BE74" w:rsidR="000903F9" w:rsidRDefault="000903F9" w:rsidP="000903F9">
      <w:pPr>
        <w:spacing w:line="360" w:lineRule="auto"/>
        <w:rPr>
          <w:sz w:val="24"/>
          <w:szCs w:val="24"/>
        </w:rPr>
      </w:pPr>
    </w:p>
    <w:p w14:paraId="2E612D14" w14:textId="16181637" w:rsidR="00135CFE" w:rsidRDefault="00135CFE" w:rsidP="000903F9">
      <w:pPr>
        <w:spacing w:line="360" w:lineRule="auto"/>
        <w:rPr>
          <w:sz w:val="24"/>
          <w:szCs w:val="24"/>
        </w:rPr>
      </w:pPr>
    </w:p>
    <w:p w14:paraId="3518F29B" w14:textId="3D6CBB55" w:rsidR="00135CFE" w:rsidRDefault="00135CFE" w:rsidP="000903F9">
      <w:pPr>
        <w:spacing w:line="360" w:lineRule="auto"/>
        <w:rPr>
          <w:sz w:val="24"/>
          <w:szCs w:val="24"/>
        </w:rPr>
      </w:pPr>
    </w:p>
    <w:p w14:paraId="0F5B88CB" w14:textId="77777777" w:rsidR="00135CFE" w:rsidRPr="003445DE" w:rsidRDefault="00135CFE" w:rsidP="000903F9">
      <w:pPr>
        <w:spacing w:line="360" w:lineRule="auto"/>
        <w:rPr>
          <w:sz w:val="24"/>
          <w:szCs w:val="24"/>
        </w:rPr>
      </w:pPr>
      <w:bookmarkStart w:id="4" w:name="_GoBack"/>
      <w:bookmarkEnd w:id="4"/>
    </w:p>
    <w:p w14:paraId="580C10AC"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135CFE">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6F03DA">
            <w:pPr>
              <w:numPr>
                <w:ilvl w:val="0"/>
                <w:numId w:val="8"/>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6F03DA">
            <w:pPr>
              <w:numPr>
                <w:ilvl w:val="0"/>
                <w:numId w:val="8"/>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6F03DA">
            <w:pPr>
              <w:pStyle w:val="a8"/>
              <w:numPr>
                <w:ilvl w:val="0"/>
                <w:numId w:val="9"/>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6F03DA">
            <w:pPr>
              <w:numPr>
                <w:ilvl w:val="0"/>
                <w:numId w:val="9"/>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6F03DA">
            <w:pPr>
              <w:numPr>
                <w:ilvl w:val="0"/>
                <w:numId w:val="9"/>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6F03DA">
            <w:pPr>
              <w:numPr>
                <w:ilvl w:val="0"/>
                <w:numId w:val="9"/>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6F1F3D59" w:rsidR="00371B7F" w:rsidRPr="003445DE" w:rsidRDefault="00421397" w:rsidP="00E845C5">
            <w:pPr>
              <w:autoSpaceDN w:val="0"/>
              <w:adjustRightInd w:val="0"/>
              <w:spacing w:line="360" w:lineRule="auto"/>
              <w:ind w:firstLine="767"/>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6F03DA">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6F03DA">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42F061FB" w14:textId="77777777" w:rsidR="006F03DA" w:rsidRPr="006F03DA" w:rsidRDefault="00421397" w:rsidP="006F03DA">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6866985F" w:rsidR="00371B7F" w:rsidRPr="006F03DA" w:rsidRDefault="00421397" w:rsidP="006F03DA">
            <w:pPr>
              <w:autoSpaceDN w:val="0"/>
              <w:adjustRightInd w:val="0"/>
              <w:spacing w:line="360" w:lineRule="auto"/>
              <w:jc w:val="both"/>
              <w:rPr>
                <w:bCs/>
                <w:sz w:val="24"/>
                <w:szCs w:val="24"/>
                <w:lang w:eastAsia="ru-RU"/>
              </w:rPr>
            </w:pPr>
            <w:r w:rsidRPr="006F03DA">
              <w:rPr>
                <w:bCs/>
                <w:sz w:val="24"/>
                <w:szCs w:val="24"/>
                <w:lang w:eastAsia="ru-RU"/>
              </w:rPr>
              <w:t xml:space="preserve">В случае внесения изменения в </w:t>
            </w:r>
            <w:r w:rsidRPr="006F03DA">
              <w:rPr>
                <w:sz w:val="24"/>
                <w:szCs w:val="24"/>
                <w:lang w:eastAsia="ru-RU"/>
              </w:rPr>
              <w:t>условия определения срока</w:t>
            </w:r>
            <w:r w:rsidRPr="006F03DA">
              <w:rPr>
                <w:bCs/>
                <w:sz w:val="24"/>
                <w:szCs w:val="24"/>
                <w:lang w:eastAsia="ru-RU"/>
              </w:rPr>
              <w:t xml:space="preserve"> договора </w:t>
            </w:r>
            <w:r w:rsidRPr="006F03DA">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6F03DA">
              <w:rPr>
                <w:sz w:val="24"/>
                <w:szCs w:val="24"/>
                <w:lang w:eastAsia="ru-RU"/>
              </w:rPr>
              <w:t xml:space="preserve">справедливой стоимости </w:t>
            </w:r>
            <w:r w:rsidRPr="006F03DA">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02F7C693" w14:textId="77777777" w:rsidR="006F03DA" w:rsidRDefault="006F03DA">
      <w:pPr>
        <w:suppressAutoHyphens w:val="0"/>
        <w:autoSpaceDE/>
        <w:spacing w:after="160" w:line="259" w:lineRule="auto"/>
        <w:rPr>
          <w:b/>
          <w:bCs/>
          <w:sz w:val="24"/>
          <w:szCs w:val="24"/>
          <w:lang w:eastAsia="ru-RU"/>
        </w:rPr>
      </w:pPr>
      <w:r>
        <w:rPr>
          <w:b/>
          <w:bCs/>
          <w:sz w:val="24"/>
          <w:szCs w:val="24"/>
          <w:lang w:eastAsia="ru-RU"/>
        </w:rPr>
        <w:br w:type="page"/>
      </w:r>
    </w:p>
    <w:p w14:paraId="26512917" w14:textId="2BC6C171"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E460D2">
            <w:pPr>
              <w:pStyle w:val="a8"/>
              <w:numPr>
                <w:ilvl w:val="0"/>
                <w:numId w:val="29"/>
              </w:numPr>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77777777"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5E23A7">
            <w:pPr>
              <w:pStyle w:val="a8"/>
              <w:numPr>
                <w:ilvl w:val="0"/>
                <w:numId w:val="31"/>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5E23A7">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5E23A7">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5E23A7">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5E23A7">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5E23A7">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5E23A7">
            <w:pPr>
              <w:pStyle w:val="a8"/>
              <w:numPr>
                <w:ilvl w:val="0"/>
                <w:numId w:val="32"/>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5E23A7">
            <w:pPr>
              <w:pStyle w:val="a8"/>
              <w:numPr>
                <w:ilvl w:val="0"/>
                <w:numId w:val="32"/>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5E23A7">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5E23A7">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5E23A7">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5E23A7">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5E23A7">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5E23A7">
            <w:pPr>
              <w:tabs>
                <w:tab w:val="left" w:pos="930"/>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5E23A7">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5E23A7">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32D081AD" w14:textId="3A3BD736" w:rsidR="005E23A7" w:rsidRDefault="005E23A7" w:rsidP="003F590D">
      <w:pPr>
        <w:autoSpaceDN w:val="0"/>
        <w:adjustRightInd w:val="0"/>
        <w:spacing w:line="360" w:lineRule="auto"/>
        <w:jc w:val="right"/>
        <w:rPr>
          <w:b/>
          <w:sz w:val="24"/>
          <w:szCs w:val="24"/>
          <w:lang w:eastAsia="ru-RU"/>
        </w:rPr>
      </w:pPr>
    </w:p>
    <w:p w14:paraId="159D24AE" w14:textId="5F815D2C" w:rsidR="005E23A7" w:rsidRPr="003445DE" w:rsidRDefault="005E23A7" w:rsidP="005E23A7">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6817C8">
            <w:pPr>
              <w:pStyle w:val="a8"/>
              <w:numPr>
                <w:ilvl w:val="0"/>
                <w:numId w:val="46"/>
              </w:numPr>
              <w:tabs>
                <w:tab w:val="left" w:pos="363"/>
              </w:tabs>
              <w:autoSpaceDN w:val="0"/>
              <w:adjustRightInd w:val="0"/>
              <w:spacing w:line="360" w:lineRule="auto"/>
              <w:ind w:left="0" w:firstLine="79"/>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6817C8">
            <w:pPr>
              <w:pStyle w:val="a8"/>
              <w:numPr>
                <w:ilvl w:val="0"/>
                <w:numId w:val="46"/>
              </w:numPr>
              <w:tabs>
                <w:tab w:val="left" w:pos="363"/>
              </w:tabs>
              <w:autoSpaceDN w:val="0"/>
              <w:adjustRightInd w:val="0"/>
              <w:spacing w:line="360" w:lineRule="auto"/>
              <w:ind w:left="0" w:firstLine="79"/>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6817C8">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6817C8">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6817C8">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6817C8">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2820A4E9" w14:textId="77777777" w:rsidR="006817C8" w:rsidRDefault="006817C8" w:rsidP="00E845C5">
      <w:pPr>
        <w:autoSpaceDN w:val="0"/>
        <w:adjustRightInd w:val="0"/>
        <w:spacing w:line="360" w:lineRule="auto"/>
        <w:ind w:firstLine="709"/>
        <w:jc w:val="right"/>
        <w:rPr>
          <w:sz w:val="24"/>
          <w:szCs w:val="24"/>
          <w:lang w:eastAsia="ru-RU"/>
        </w:rPr>
      </w:pPr>
    </w:p>
    <w:p w14:paraId="045E373D" w14:textId="77777777" w:rsidR="006817C8" w:rsidRDefault="006817C8">
      <w:pPr>
        <w:suppressAutoHyphens w:val="0"/>
        <w:autoSpaceDE/>
        <w:spacing w:after="160" w:line="259" w:lineRule="auto"/>
        <w:rPr>
          <w:sz w:val="24"/>
          <w:szCs w:val="24"/>
          <w:lang w:eastAsia="ru-RU"/>
        </w:rPr>
      </w:pPr>
      <w:r>
        <w:rPr>
          <w:sz w:val="24"/>
          <w:szCs w:val="24"/>
          <w:lang w:eastAsia="ru-RU"/>
        </w:rPr>
        <w:br w:type="page"/>
      </w:r>
    </w:p>
    <w:p w14:paraId="505F6BF5" w14:textId="076337BE"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EBB3A3B" w14:textId="32786605" w:rsidR="006817C8" w:rsidRDefault="006817C8" w:rsidP="00E845C5">
      <w:pPr>
        <w:suppressAutoHyphens w:val="0"/>
        <w:autoSpaceDE/>
        <w:spacing w:line="360" w:lineRule="auto"/>
        <w:rPr>
          <w:b/>
          <w:sz w:val="24"/>
          <w:szCs w:val="24"/>
          <w:lang w:eastAsia="ru-RU"/>
        </w:rPr>
      </w:pPr>
    </w:p>
    <w:p w14:paraId="5997DFFA" w14:textId="059A0D20" w:rsidR="00A22F12" w:rsidRPr="003445DE" w:rsidRDefault="006817C8" w:rsidP="006817C8">
      <w:pPr>
        <w:suppressAutoHyphens w:val="0"/>
        <w:autoSpaceDE/>
        <w:spacing w:after="160" w:line="259" w:lineRule="auto"/>
        <w:rPr>
          <w:b/>
          <w:sz w:val="24"/>
          <w:szCs w:val="24"/>
          <w:lang w:eastAsia="ru-RU"/>
        </w:rPr>
      </w:pPr>
      <w:r>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46009C4F" w14:textId="462CC2DF" w:rsidR="00D615E8" w:rsidRPr="003445DE" w:rsidRDefault="00D615E8" w:rsidP="00E845C5">
      <w:pPr>
        <w:autoSpaceDN w:val="0"/>
        <w:adjustRightInd w:val="0"/>
        <w:spacing w:line="360" w:lineRule="auto"/>
        <w:ind w:firstLine="709"/>
        <w:jc w:val="right"/>
        <w:rPr>
          <w:b/>
          <w:sz w:val="24"/>
          <w:szCs w:val="24"/>
          <w:lang w:eastAsia="ru-RU"/>
        </w:rPr>
      </w:pPr>
    </w:p>
    <w:p w14:paraId="597546C7" w14:textId="036EB4E7" w:rsidR="0060273C" w:rsidRPr="003445DE" w:rsidRDefault="006817C8" w:rsidP="006817C8">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284180"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135CFE"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135CFE"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135CFE"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135CFE"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135CFE"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61EB93F3" w14:textId="77777777" w:rsidR="006817C8" w:rsidRDefault="006817C8">
      <w:pPr>
        <w:suppressAutoHyphens w:val="0"/>
        <w:autoSpaceDE/>
        <w:spacing w:after="160" w:line="259" w:lineRule="auto"/>
        <w:rPr>
          <w:sz w:val="24"/>
          <w:szCs w:val="24"/>
          <w:lang w:eastAsia="ru-RU"/>
        </w:rPr>
      </w:pPr>
      <w:r>
        <w:rPr>
          <w:sz w:val="24"/>
          <w:szCs w:val="24"/>
          <w:lang w:eastAsia="ru-RU"/>
        </w:rPr>
        <w:br w:type="page"/>
      </w:r>
    </w:p>
    <w:p w14:paraId="20263486" w14:textId="6A7692D3"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0B19F24A" w:rsidR="00AF6671" w:rsidRPr="003445DE" w:rsidRDefault="003A2DD0" w:rsidP="00512BF1">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512BF1">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512BF1">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512BF1">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512BF1">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33B780FB" w14:textId="421EB0DA" w:rsidR="00512BF1" w:rsidRPr="003445DE" w:rsidRDefault="006817C8" w:rsidP="006817C8">
      <w:pPr>
        <w:suppressAutoHyphens w:val="0"/>
        <w:autoSpaceDE/>
        <w:spacing w:after="160" w:line="259" w:lineRule="auto"/>
        <w:rPr>
          <w:sz w:val="24"/>
          <w:szCs w:val="24"/>
        </w:rPr>
      </w:pPr>
      <w:r>
        <w:rPr>
          <w:sz w:val="24"/>
          <w:szCs w:val="24"/>
        </w:rPr>
        <w:br w:type="page"/>
      </w:r>
    </w:p>
    <w:p w14:paraId="1C7B766E" w14:textId="77777777"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58EEC4BF" w14:textId="4C4D0C5D" w:rsidR="00953749" w:rsidRPr="003445DE" w:rsidRDefault="006817C8">
      <w:pPr>
        <w:suppressAutoHyphens w:val="0"/>
        <w:autoSpaceDE/>
        <w:spacing w:after="160" w:line="259" w:lineRule="auto"/>
        <w:rPr>
          <w:sz w:val="24"/>
          <w:szCs w:val="24"/>
          <w:lang w:eastAsia="ru-RU"/>
        </w:rPr>
      </w:pPr>
      <w:r>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135CFE"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В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6F03DA">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6F03DA" w:rsidRDefault="006F03DA" w:rsidP="002C56E6">
      <w:r>
        <w:separator/>
      </w:r>
    </w:p>
  </w:endnote>
  <w:endnote w:type="continuationSeparator" w:id="0">
    <w:p w14:paraId="0D1DE616" w14:textId="77777777" w:rsidR="006F03DA" w:rsidRDefault="006F03DA"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A00002EF" w:usb1="4000004B" w:usb2="00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0CE24E96" w:rsidR="006F03DA" w:rsidRDefault="006F03DA">
        <w:pPr>
          <w:pStyle w:val="ac"/>
          <w:jc w:val="right"/>
        </w:pPr>
        <w:r>
          <w:rPr>
            <w:noProof/>
          </w:rPr>
          <w:fldChar w:fldCharType="begin"/>
        </w:r>
        <w:r>
          <w:rPr>
            <w:noProof/>
          </w:rPr>
          <w:instrText>PAGE   \* MERGEFORMAT</w:instrText>
        </w:r>
        <w:r>
          <w:rPr>
            <w:noProof/>
          </w:rPr>
          <w:fldChar w:fldCharType="separate"/>
        </w:r>
        <w:r w:rsidR="00135CFE">
          <w:rPr>
            <w:noProof/>
          </w:rPr>
          <w:t>87</w:t>
        </w:r>
        <w:r>
          <w:rPr>
            <w:noProof/>
          </w:rPr>
          <w:fldChar w:fldCharType="end"/>
        </w:r>
      </w:p>
    </w:sdtContent>
  </w:sdt>
  <w:p w14:paraId="04FE75E7" w14:textId="77777777" w:rsidR="006F03DA" w:rsidRDefault="006F03D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49CED831" w:rsidR="006F03DA" w:rsidRDefault="006F03DA">
        <w:pPr>
          <w:pStyle w:val="ac"/>
          <w:jc w:val="right"/>
        </w:pPr>
        <w:r>
          <w:rPr>
            <w:noProof/>
          </w:rPr>
          <w:fldChar w:fldCharType="begin"/>
        </w:r>
        <w:r>
          <w:rPr>
            <w:noProof/>
          </w:rPr>
          <w:instrText>PAGE   \* MERGEFORMAT</w:instrText>
        </w:r>
        <w:r>
          <w:rPr>
            <w:noProof/>
          </w:rPr>
          <w:fldChar w:fldCharType="separate"/>
        </w:r>
        <w:r w:rsidR="00135CFE">
          <w:rPr>
            <w:noProof/>
          </w:rPr>
          <w:t>93</w:t>
        </w:r>
        <w:r>
          <w:rPr>
            <w:noProof/>
          </w:rPr>
          <w:fldChar w:fldCharType="end"/>
        </w:r>
      </w:p>
    </w:sdtContent>
  </w:sdt>
  <w:p w14:paraId="33248CCB" w14:textId="77777777" w:rsidR="006F03DA" w:rsidRDefault="006F03D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4B30D45D" w:rsidR="006F03DA" w:rsidRDefault="006F03DA">
        <w:pPr>
          <w:pStyle w:val="ac"/>
          <w:jc w:val="right"/>
        </w:pPr>
        <w:r>
          <w:rPr>
            <w:noProof/>
          </w:rPr>
          <w:fldChar w:fldCharType="begin"/>
        </w:r>
        <w:r>
          <w:rPr>
            <w:noProof/>
          </w:rPr>
          <w:instrText>PAGE   \* MERGEFORMAT</w:instrText>
        </w:r>
        <w:r>
          <w:rPr>
            <w:noProof/>
          </w:rPr>
          <w:fldChar w:fldCharType="separate"/>
        </w:r>
        <w:r w:rsidR="00135CFE">
          <w:rPr>
            <w:noProof/>
          </w:rPr>
          <w:t>108</w:t>
        </w:r>
        <w:r>
          <w:rPr>
            <w:noProof/>
          </w:rPr>
          <w:fldChar w:fldCharType="end"/>
        </w:r>
      </w:p>
    </w:sdtContent>
  </w:sdt>
  <w:p w14:paraId="559430A5" w14:textId="77777777" w:rsidR="006F03DA" w:rsidRDefault="006F03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6F03DA" w:rsidRDefault="006F03DA" w:rsidP="002C56E6">
      <w:r>
        <w:separator/>
      </w:r>
    </w:p>
  </w:footnote>
  <w:footnote w:type="continuationSeparator" w:id="0">
    <w:p w14:paraId="724B0FF0" w14:textId="77777777" w:rsidR="006F03DA" w:rsidRDefault="006F03DA" w:rsidP="002C56E6">
      <w:r>
        <w:continuationSeparator/>
      </w:r>
    </w:p>
  </w:footnote>
  <w:footnote w:id="1">
    <w:p w14:paraId="61D47649" w14:textId="77777777" w:rsidR="006F03DA" w:rsidRPr="00E845C5" w:rsidRDefault="006F03DA"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6F03DA" w:rsidRPr="00E845C5" w:rsidRDefault="006F03DA" w:rsidP="00E845C5">
      <w:pPr>
        <w:pStyle w:val="aff4"/>
      </w:pPr>
      <w:r w:rsidRPr="00E845C5">
        <w:t>В случае возникновения следующих событий:</w:t>
      </w:r>
    </w:p>
    <w:p w14:paraId="318C8D5E" w14:textId="77777777" w:rsidR="006F03DA" w:rsidRPr="00E845C5" w:rsidRDefault="006F03DA" w:rsidP="00E460D2">
      <w:pPr>
        <w:pStyle w:val="aff4"/>
        <w:numPr>
          <w:ilvl w:val="0"/>
          <w:numId w:val="49"/>
        </w:numPr>
      </w:pPr>
      <w:r w:rsidRPr="00E845C5">
        <w:t>Возникновение признаков обесценения, изложенных в приложении 4.</w:t>
      </w:r>
    </w:p>
    <w:p w14:paraId="781826BD" w14:textId="77777777" w:rsidR="006F03DA" w:rsidRPr="00E845C5" w:rsidRDefault="006F03DA"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6F03DA" w:rsidRPr="00E845C5" w:rsidRDefault="006F03DA" w:rsidP="00E460D2">
      <w:pPr>
        <w:pStyle w:val="aff4"/>
        <w:numPr>
          <w:ilvl w:val="0"/>
          <w:numId w:val="49"/>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6F03DA" w:rsidRPr="00E845C5" w:rsidRDefault="006F03DA"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6F03DA" w:rsidRPr="00E845C5" w:rsidRDefault="006F03DA"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6F03DA" w:rsidRPr="00CE2725" w:rsidRDefault="006F03DA">
      <w:pPr>
        <w:pStyle w:val="aff4"/>
      </w:pPr>
    </w:p>
  </w:footnote>
  <w:footnote w:id="2">
    <w:p w14:paraId="66CDDC08" w14:textId="77777777" w:rsidR="006F03DA" w:rsidRDefault="006F03DA"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6F03DA" w:rsidRDefault="006F03DA"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6F03DA" w:rsidRDefault="006F03DA"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6F03DA" w:rsidRDefault="006F03DA"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6F03DA" w:rsidRPr="008449D1" w:rsidRDefault="006F03DA" w:rsidP="00BF6FF2">
      <w:pPr>
        <w:pStyle w:val="aff4"/>
        <w:rPr>
          <w:b/>
        </w:rPr>
      </w:pPr>
    </w:p>
  </w:footnote>
  <w:footnote w:id="6">
    <w:p w14:paraId="2A1A4BB8" w14:textId="77777777" w:rsidR="006F03DA" w:rsidRDefault="006F03DA"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6F03DA" w:rsidRPr="00B62470" w:rsidRDefault="006F03DA"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6F03DA" w:rsidRPr="00B62470" w:rsidRDefault="006F03DA"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6F03DA" w:rsidRDefault="006F03DA"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6F03DA" w:rsidRDefault="006F03DA"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6F03DA" w:rsidRDefault="006F03DA"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6F03DA" w:rsidRPr="00341704" w:rsidRDefault="006F03DA"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6F03DA" w:rsidRPr="00341704" w:rsidRDefault="006F03DA"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6F03DA" w:rsidRDefault="006F03DA"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6F03DA" w:rsidRPr="004A14EE" w:rsidRDefault="006F03DA"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6F03DA" w:rsidRPr="004A14EE" w:rsidRDefault="006F03DA"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6F03DA" w:rsidRPr="00E2653F" w:rsidRDefault="006F03DA"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6F03DA" w:rsidRDefault="006F03DA"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6F03DA" w:rsidRDefault="006F03DA"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6F03DA" w:rsidRPr="00FE2BB4" w:rsidRDefault="006F03DA"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6F03DA" w:rsidRDefault="006F03DA"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6F03DA" w:rsidRDefault="006F03DA"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6F03DA" w:rsidRDefault="006F03DA"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6F03DA" w:rsidRDefault="006F03DA"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6F03DA" w:rsidRPr="00EA2976" w:rsidRDefault="006F03DA"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6F03DA" w:rsidRDefault="006F03DA"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6F03DA" w:rsidRPr="00AC2C21" w:rsidRDefault="006F03DA"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6F03DA" w:rsidRPr="00AC2C21" w:rsidRDefault="006F03DA" w:rsidP="000903F9">
      <w:pPr>
        <w:pStyle w:val="aff4"/>
        <w:rPr>
          <w:sz w:val="16"/>
        </w:rPr>
      </w:pPr>
      <w:r w:rsidRPr="00AC2C21">
        <w:rPr>
          <w:sz w:val="16"/>
        </w:rPr>
        <w:t>LGD=1-RR,</w:t>
      </w:r>
    </w:p>
    <w:p w14:paraId="6C97F04C" w14:textId="77777777" w:rsidR="006F03DA" w:rsidRPr="00AC2C21" w:rsidRDefault="006F03DA" w:rsidP="000903F9">
      <w:pPr>
        <w:pStyle w:val="aff4"/>
        <w:rPr>
          <w:sz w:val="16"/>
        </w:rPr>
      </w:pPr>
      <w:r w:rsidRPr="00AC2C21">
        <w:rPr>
          <w:sz w:val="16"/>
        </w:rPr>
        <w:t>где:</w:t>
      </w:r>
    </w:p>
    <w:p w14:paraId="1BEA9649" w14:textId="77777777" w:rsidR="006F03DA" w:rsidRDefault="006F03DA"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6F03DA" w:rsidRDefault="006F03DA"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6F03DA" w:rsidRDefault="006F03DA" w:rsidP="009C05C4">
      <w:pPr>
        <w:pStyle w:val="aff4"/>
      </w:pPr>
      <w:r>
        <w:rPr>
          <w:rStyle w:val="afa"/>
        </w:rPr>
        <w:footnoteRef/>
      </w:r>
      <w:r>
        <w:t xml:space="preserve"> Например, гостиницы, хостелы и т.п.</w:t>
      </w:r>
    </w:p>
  </w:footnote>
  <w:footnote w:id="28">
    <w:p w14:paraId="2682F55B" w14:textId="77777777" w:rsidR="006F03DA" w:rsidRDefault="006F03DA"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6F03DA" w:rsidRPr="00151F78" w:rsidRDefault="006F03DA"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6F03DA" w:rsidRPr="00151F78" w:rsidRDefault="006F03DA"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6F03DA" w:rsidRPr="00987453" w:rsidRDefault="006F03DA"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6F03DA" w:rsidRPr="00987453" w:rsidRDefault="006F03DA"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6F03DA" w:rsidRPr="00987453" w:rsidRDefault="006F03DA"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6F03DA" w:rsidRPr="00987453" w:rsidRDefault="006F03DA"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6F03DA" w:rsidRPr="00987453" w:rsidRDefault="006F03DA"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6F03DA" w:rsidRDefault="006F03DA"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56CA"/>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CF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9E8"/>
    <w:rsid w:val="00404A55"/>
    <w:rsid w:val="00404F6B"/>
    <w:rsid w:val="004050B3"/>
    <w:rsid w:val="00405ECA"/>
    <w:rsid w:val="004061A4"/>
    <w:rsid w:val="004071EF"/>
    <w:rsid w:val="004073FD"/>
    <w:rsid w:val="00413032"/>
    <w:rsid w:val="004144AE"/>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2BF1"/>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6FD1"/>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23A7"/>
    <w:rsid w:val="005E3646"/>
    <w:rsid w:val="005E364B"/>
    <w:rsid w:val="005E4D31"/>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1772A"/>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17C8"/>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03DA"/>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0DAB"/>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76D50"/>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2BB6"/>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3.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3AA28A-630B-4B79-B6BD-AC520EF9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135</Pages>
  <Words>31849</Words>
  <Characters>181541</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15</cp:revision>
  <cp:lastPrinted>2019-12-16T11:46:00Z</cp:lastPrinted>
  <dcterms:created xsi:type="dcterms:W3CDTF">2026-06-01T11:34:00Z</dcterms:created>
  <dcterms:modified xsi:type="dcterms:W3CDTF">2026-06-29T19:27:00Z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